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w:t>
        </w:r>
        <w:r w:rsidRPr="004B5035">
          <w:rPr>
            <w:rStyle w:val="Hyperlink"/>
            <w:rFonts w:eastAsia="Times New Roman"/>
            <w:noProof/>
            <w:lang w:val="en-US" w:eastAsia="en-GB"/>
          </w:rPr>
          <w:t>u</w:t>
        </w:r>
        <w:r w:rsidRPr="004B5035">
          <w:rPr>
            <w:rStyle w:val="Hyperlink"/>
            <w:rFonts w:eastAsia="Times New Roman"/>
            <w:noProof/>
            <w:lang w:val="en-US" w:eastAsia="en-GB"/>
          </w:rPr>
          <w:t>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40"/>
        <w:gridCol w:w="5177"/>
        <w:gridCol w:w="170"/>
        <w:gridCol w:w="95"/>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0D7D223" w:rsidR="00093CA9" w:rsidRDefault="00BA5DD4" w:rsidP="00093CA9">
            <w:r w:rsidRPr="00BA5DD4">
              <w:t>Financial Services Authority Regulation No. 14 of 2023 on Carbon Trading through the Carbon Exchange</w:t>
            </w:r>
            <w:r w:rsidR="00B74E7F">
              <w:t xml:space="preserve"> (“</w:t>
            </w:r>
            <w:r w:rsidR="00B74E7F" w:rsidRPr="00B74E7F">
              <w:rPr>
                <w:b/>
                <w:bCs/>
              </w:rPr>
              <w:t>POJK No. 14/2023</w:t>
            </w:r>
            <w:r w:rsidR="00B74E7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5666C5B" w:rsidR="00093CA9" w:rsidRDefault="00DC3FC2" w:rsidP="00093CA9">
            <w:hyperlink r:id="rId17" w:history="1">
              <w:r w:rsidRPr="00540AA2">
                <w:rPr>
                  <w:rStyle w:val="Hyperlink"/>
                </w:rPr>
                <w:t>https://web.archive.org/web/20250806095808/https://peraturan.bpk.go.id/Details/272022/peraturan-ojk-no-8-tahun-2023%20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154D481" w:rsidR="00093CA9" w:rsidRDefault="003D48C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5E97742" w:rsidR="00C54F88" w:rsidRPr="00C909D0" w:rsidRDefault="00C909D0" w:rsidP="00093CA9">
            <w:pPr>
              <w:rPr>
                <w:lang w:val="en-ID"/>
              </w:rPr>
            </w:pPr>
            <w:r w:rsidRPr="00C909D0">
              <w:rPr>
                <w:lang w:val="en-ID"/>
              </w:rPr>
              <w:t>POJK No. 14/2023 is highly relevant to the carbon credits domain because it provides the legal and regulatory foundation for how Carbon Trading is conducted in Indonesia, particularly through the Carbon Exchange. The regulation assigns the OJK with the responsibility to arrange, license, supervise, and develop Carbon Trading through the Carbon Exchange. It also provides rules on Carbon Exchange Organizers, providing them a framework and obligations to follow. As well as general market infrastructure for carbon transactions and governance of carbon credit units. This ensures that carbon credits, whether used in compliance or voluntary markets, are subject to structured regulatory oversight. This aligns directly with the goals of carbon credit policy tools, which govern how carbon credits are generated, exchanged, and monitored.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B09E33D" w:rsidR="00093CA9" w:rsidRDefault="00B74E7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A0E31E0" w:rsidR="00093CA9" w:rsidRDefault="00B74E7F" w:rsidP="00093CA9">
            <w:r>
              <w:t>POJK No. 14/2023</w:t>
            </w:r>
            <w:r w:rsidR="00C33573">
              <w:t xml:space="preserve"> came into force from the date of its promulgation on 2 August 2023.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314C01A" w:rsidR="00093CA9" w:rsidRPr="00173D7C" w:rsidRDefault="00C3357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84AC3C5"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01AD8C90"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53230A94"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C89349A" w:rsidR="00093CA9" w:rsidRDefault="00C33573" w:rsidP="00093CA9">
            <w:r>
              <w:t>The Financial Services Authority (“</w:t>
            </w:r>
            <w:r w:rsidRPr="00C33573">
              <w:rPr>
                <w:b/>
                <w:bCs/>
              </w:rPr>
              <w:t>OJK</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CBDBA8" w:rsidR="00093CA9" w:rsidRPr="006B7B0D" w:rsidRDefault="00C54F88" w:rsidP="00093CA9">
            <w:r>
              <w:t xml:space="preserve">According to the policy tool, the OJK is the main authority overseeing the implementation and enforcement of Carbon Trading on the Carbon Exchange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4BCF6A9" w:rsidR="00093CA9" w:rsidRPr="006B7B0D" w:rsidRDefault="00C54F8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77FAF33"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3C7EA98"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3819635"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4F90B1E9" w14:textId="241C9C19" w:rsidR="000D1E73" w:rsidRPr="000D1E73" w:rsidRDefault="000D1E73" w:rsidP="000D1E73">
            <w:pPr>
              <w:keepNext/>
              <w:spacing w:before="0" w:after="0"/>
              <w:rPr>
                <w:color w:val="000000" w:themeColor="text1"/>
                <w:lang w:val="en-ID"/>
              </w:rPr>
            </w:pPr>
            <w:r w:rsidRPr="000D1E73">
              <w:rPr>
                <w:color w:val="000000" w:themeColor="text1"/>
                <w:lang w:val="en-ID"/>
              </w:rPr>
              <w:t xml:space="preserve">The </w:t>
            </w:r>
            <w:r>
              <w:rPr>
                <w:b/>
                <w:bCs/>
                <w:color w:val="000000" w:themeColor="text1"/>
                <w:lang w:val="en-ID"/>
              </w:rPr>
              <w:t>OJK</w:t>
            </w:r>
            <w:r w:rsidRPr="000D1E73">
              <w:rPr>
                <w:color w:val="000000" w:themeColor="text1"/>
                <w:lang w:val="en-ID"/>
              </w:rPr>
              <w:t xml:space="preserve"> supervises all Carbon Trading activities conducted through the Carbon Exchange. This supervision covers:</w:t>
            </w:r>
          </w:p>
          <w:p w14:paraId="7D061141"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The Carbon Exchange Organizer</w:t>
            </w:r>
          </w:p>
          <w:p w14:paraId="6CD0F41B"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Supporting market infrastructure</w:t>
            </w:r>
          </w:p>
          <w:p w14:paraId="273195A3"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Service users of the Exchange</w:t>
            </w:r>
          </w:p>
          <w:p w14:paraId="3446625C"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Transactions and settlements of Carbon Units</w:t>
            </w:r>
          </w:p>
          <w:p w14:paraId="0B383C97"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Governance, risk management, and consumer protection</w:t>
            </w:r>
          </w:p>
          <w:p w14:paraId="0779262E" w14:textId="77777777" w:rsidR="000D1E73" w:rsidRPr="000D1E73" w:rsidRDefault="000D1E73" w:rsidP="000D1E73">
            <w:pPr>
              <w:keepNext/>
              <w:numPr>
                <w:ilvl w:val="0"/>
                <w:numId w:val="49"/>
              </w:numPr>
              <w:spacing w:before="0" w:after="0"/>
              <w:rPr>
                <w:color w:val="000000" w:themeColor="text1"/>
                <w:lang w:val="en-ID"/>
              </w:rPr>
            </w:pPr>
            <w:r w:rsidRPr="000D1E73">
              <w:rPr>
                <w:color w:val="000000" w:themeColor="text1"/>
                <w:lang w:val="en-ID"/>
              </w:rPr>
              <w:t>All related parties, products, and activities</w:t>
            </w:r>
          </w:p>
          <w:p w14:paraId="26CA4BAC" w14:textId="77777777" w:rsidR="000D1E73" w:rsidRDefault="000D1E73" w:rsidP="000D1E73">
            <w:pPr>
              <w:keepNext/>
              <w:spacing w:before="0" w:after="0"/>
              <w:rPr>
                <w:color w:val="000000" w:themeColor="text1"/>
              </w:rPr>
            </w:pPr>
          </w:p>
          <w:p w14:paraId="280AD7C3" w14:textId="76848D30" w:rsidR="000D1E73" w:rsidRPr="000D1E73" w:rsidRDefault="000D1E73" w:rsidP="000D1E73">
            <w:pPr>
              <w:keepNext/>
              <w:spacing w:before="0" w:after="0"/>
              <w:rPr>
                <w:color w:val="000000" w:themeColor="text1"/>
                <w:lang w:val="en-ID"/>
              </w:rPr>
            </w:pPr>
            <w:r w:rsidRPr="000D1E73">
              <w:rPr>
                <w:color w:val="000000" w:themeColor="text1"/>
                <w:lang w:val="en-ID"/>
              </w:rPr>
              <w:t>To ensure ongoing oversight</w:t>
            </w:r>
            <w:r>
              <w:rPr>
                <w:color w:val="000000" w:themeColor="text1"/>
                <w:lang w:val="en-ID"/>
              </w:rPr>
              <w:t xml:space="preserve"> of all Carbon Trading</w:t>
            </w:r>
            <w:r w:rsidRPr="000D1E73">
              <w:rPr>
                <w:color w:val="000000" w:themeColor="text1"/>
                <w:lang w:val="en-ID"/>
              </w:rPr>
              <w:t xml:space="preserve">, the </w:t>
            </w:r>
            <w:r>
              <w:rPr>
                <w:color w:val="000000" w:themeColor="text1"/>
                <w:lang w:val="en-ID"/>
              </w:rPr>
              <w:t xml:space="preserve">policy tool also imposes obligations on </w:t>
            </w:r>
            <w:r w:rsidRPr="000D1E73">
              <w:rPr>
                <w:color w:val="000000" w:themeColor="text1"/>
                <w:lang w:val="en-ID"/>
              </w:rPr>
              <w:t>Carbon Exchange Organizer</w:t>
            </w:r>
            <w:r>
              <w:rPr>
                <w:color w:val="000000" w:themeColor="text1"/>
                <w:lang w:val="en-ID"/>
              </w:rPr>
              <w:t>. Carbon exchange organizers must</w:t>
            </w:r>
            <w:r w:rsidRPr="000D1E73">
              <w:rPr>
                <w:color w:val="000000" w:themeColor="text1"/>
                <w:lang w:val="en-ID"/>
              </w:rPr>
              <w:t>:</w:t>
            </w:r>
          </w:p>
          <w:p w14:paraId="43040EE2" w14:textId="77777777" w:rsidR="000D1E73" w:rsidRPr="000D1E73" w:rsidRDefault="000D1E73" w:rsidP="000D1E73">
            <w:pPr>
              <w:keepNext/>
              <w:numPr>
                <w:ilvl w:val="0"/>
                <w:numId w:val="50"/>
              </w:numPr>
              <w:spacing w:before="0" w:after="0"/>
              <w:rPr>
                <w:color w:val="000000" w:themeColor="text1"/>
                <w:lang w:val="en-ID"/>
              </w:rPr>
            </w:pPr>
            <w:r w:rsidRPr="000D1E73">
              <w:rPr>
                <w:b/>
                <w:bCs/>
                <w:color w:val="000000" w:themeColor="text1"/>
                <w:lang w:val="en-ID"/>
              </w:rPr>
              <w:t>Submit Annual Work Plans and Budgets</w:t>
            </w:r>
          </w:p>
          <w:p w14:paraId="0DBBD30A"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Submitted each year by end of November</w:t>
            </w:r>
          </w:p>
          <w:p w14:paraId="799BDF6D"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First submission is required during the business license application</w:t>
            </w:r>
          </w:p>
          <w:p w14:paraId="6BD74CA9"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Must receive OJK approval before taking effect</w:t>
            </w:r>
          </w:p>
          <w:p w14:paraId="3DA4D72C" w14:textId="77777777" w:rsidR="000D1E73" w:rsidRPr="000D1E73" w:rsidRDefault="000D1E73" w:rsidP="000D1E73">
            <w:pPr>
              <w:keepNext/>
              <w:numPr>
                <w:ilvl w:val="0"/>
                <w:numId w:val="50"/>
              </w:numPr>
              <w:spacing w:before="0" w:after="0"/>
              <w:rPr>
                <w:color w:val="000000" w:themeColor="text1"/>
                <w:lang w:val="en-ID"/>
              </w:rPr>
            </w:pPr>
            <w:r w:rsidRPr="000D1E73">
              <w:rPr>
                <w:b/>
                <w:bCs/>
                <w:color w:val="000000" w:themeColor="text1"/>
                <w:lang w:val="en-ID"/>
              </w:rPr>
              <w:t>Submit Regular Reports to OJK</w:t>
            </w:r>
            <w:r w:rsidRPr="000D1E73">
              <w:rPr>
                <w:color w:val="000000" w:themeColor="text1"/>
                <w:lang w:val="en-ID"/>
              </w:rPr>
              <w:t>, including:</w:t>
            </w:r>
          </w:p>
          <w:p w14:paraId="77DF7C7C"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Monthly transaction recaps (by the 5th trading day of the next month)</w:t>
            </w:r>
          </w:p>
          <w:p w14:paraId="53B7A884"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Annual activity reports with audited financials (by the 3rd month after year-end)</w:t>
            </w:r>
          </w:p>
          <w:p w14:paraId="47C8B961"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Approvals/rejections of service users (next trading day)</w:t>
            </w:r>
          </w:p>
          <w:p w14:paraId="7A7C8784"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Organizational or system changes (next trading day)</w:t>
            </w:r>
          </w:p>
          <w:p w14:paraId="1667C585"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Violations and sanctions on service users (next trading day)</w:t>
            </w:r>
          </w:p>
          <w:p w14:paraId="26114ED1"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Special events (same trading day)</w:t>
            </w:r>
          </w:p>
          <w:p w14:paraId="0109770E"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Resignation of directors/commissioners (within 2 business days; OJK may delay resignations if operational risk arises)</w:t>
            </w:r>
          </w:p>
          <w:p w14:paraId="6329005E"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Results of general meetings of shareholders (within 2 business days; notarial deed within 2 days of receipt)</w:t>
            </w:r>
          </w:p>
          <w:p w14:paraId="36FFFD67" w14:textId="77777777" w:rsidR="000D1E73" w:rsidRPr="000D1E73" w:rsidRDefault="000D1E73" w:rsidP="000D1E73">
            <w:pPr>
              <w:keepNext/>
              <w:numPr>
                <w:ilvl w:val="0"/>
                <w:numId w:val="50"/>
              </w:numPr>
              <w:spacing w:before="0" w:after="0"/>
              <w:rPr>
                <w:color w:val="000000" w:themeColor="text1"/>
                <w:lang w:val="en-ID"/>
              </w:rPr>
            </w:pPr>
            <w:r w:rsidRPr="000D1E73">
              <w:rPr>
                <w:b/>
                <w:bCs/>
                <w:color w:val="000000" w:themeColor="text1"/>
                <w:lang w:val="en-ID"/>
              </w:rPr>
              <w:t>Submit Reports to the Ministry of Environment and Forestry</w:t>
            </w:r>
            <w:r w:rsidRPr="000D1E73">
              <w:rPr>
                <w:color w:val="000000" w:themeColor="text1"/>
                <w:lang w:val="en-ID"/>
              </w:rPr>
              <w:t>:</w:t>
            </w:r>
          </w:p>
          <w:p w14:paraId="15A922E6" w14:textId="77777777"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Monthly transaction recaps</w:t>
            </w:r>
          </w:p>
          <w:p w14:paraId="2C2128DB" w14:textId="09763F7E" w:rsidR="000D1E73" w:rsidRPr="000D1E73" w:rsidRDefault="000D1E73" w:rsidP="000D1E73">
            <w:pPr>
              <w:keepNext/>
              <w:numPr>
                <w:ilvl w:val="1"/>
                <w:numId w:val="50"/>
              </w:numPr>
              <w:spacing w:before="0" w:after="0"/>
              <w:rPr>
                <w:color w:val="000000" w:themeColor="text1"/>
                <w:lang w:val="en-ID"/>
              </w:rPr>
            </w:pPr>
            <w:r w:rsidRPr="000D1E73">
              <w:rPr>
                <w:color w:val="000000" w:themeColor="text1"/>
                <w:lang w:val="en-ID"/>
              </w:rPr>
              <w:t>Annual activity reports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39F07A91" w:rsidR="00D4323A" w:rsidRPr="00CF2E7C" w:rsidRDefault="00A1144E"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3FAD93A5" w:rsidR="00092534" w:rsidRPr="005D522D" w:rsidRDefault="00A1144E" w:rsidP="00CF2E7C">
            <w:pPr>
              <w:rPr>
                <w:lang w:val="en-ID"/>
              </w:rPr>
            </w:pPr>
            <w:r w:rsidRPr="005D522D">
              <w:rPr>
                <w:rFonts w:ascii="Calibri" w:hAnsi="Calibri" w:cs="Calibri"/>
              </w:rPr>
              <w:t>Carbon Exchange Organizer, which are any party that organizes and provides Carbon Exchange.</w:t>
            </w:r>
            <w:r w:rsidR="005D522D" w:rsidRPr="005D522D">
              <w:t xml:space="preserve"> </w:t>
            </w:r>
            <w:r w:rsidR="005D522D" w:rsidRPr="005D522D">
              <w:rPr>
                <w:lang w:val="en-ID"/>
              </w:rPr>
              <w:t xml:space="preserve">A Carbon Exchange Operator is a licensed legal entity that organizes and manages the marketplace (exchange) where carbon units are traded. </w:t>
            </w:r>
            <w:r w:rsidR="005D522D" w:rsidRPr="005D522D">
              <w:rPr>
                <w:rFonts w:ascii="Calibri" w:hAnsi="Calibri" w:cs="Calibri"/>
              </w:rPr>
              <w:t>In other words, this regulation is designed to regulate, license, supervise, and set requirements for entities intending to operate a carbon exchange in Indonesia.</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5283CC03" w:rsidR="00092534" w:rsidRPr="00CF2E7C" w:rsidRDefault="00A1144E"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25366C14" w:rsidR="00092534" w:rsidRPr="00CF2E7C" w:rsidRDefault="00A1144E"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33DCFEB4" w:rsidR="00092534" w:rsidRPr="00CF2E7C" w:rsidRDefault="00A1144E"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40240526" w:rsidR="00092534" w:rsidRPr="00CF2E7C" w:rsidRDefault="00A1144E"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40E660C4" w:rsidR="00092534" w:rsidRPr="00CF2E7C" w:rsidRDefault="00A1144E"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9F7061C"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14B24E3F" w:rsidR="00092534" w:rsidRPr="00CF2E7C" w:rsidRDefault="00C975EC"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177073EC" w:rsidR="00092534" w:rsidRPr="00CF2E7C" w:rsidRDefault="00C975EC"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01BDE94" w:rsidR="00092534" w:rsidRPr="00CF2E7C" w:rsidRDefault="00C975EC"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836B64C" w:rsidR="00092534" w:rsidRPr="00CF2E7C" w:rsidRDefault="00C975EC"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5FC55FB" w:rsidR="00092534" w:rsidRPr="00CF2E7C" w:rsidRDefault="00C975EC"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C7B45E3" w:rsidR="00092534" w:rsidRPr="00CF2E7C" w:rsidRDefault="00C975EC"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0350F27" w:rsidR="00092534" w:rsidRPr="00CF2E7C" w:rsidRDefault="00C975EC"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2E92FE0C" w:rsidR="00092534" w:rsidRPr="00CF2E7C" w:rsidRDefault="00C975EC"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5828D2A6" w:rsidR="00092534" w:rsidRPr="00CF2E7C" w:rsidRDefault="00C975EC"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3125FE4D" w:rsidR="00092534" w:rsidRPr="00CF2E7C" w:rsidRDefault="00C975E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2D3BE15E" w:rsidR="00092534" w:rsidRPr="00CF2E7C" w:rsidRDefault="005D522D" w:rsidP="00CF2E7C">
            <w:pPr>
              <w:rPr>
                <w:rFonts w:ascii="Calibri" w:hAnsi="Calibri" w:cs="Calibri"/>
              </w:rPr>
            </w:pPr>
            <w:r>
              <w:rPr>
                <w:rFonts w:ascii="Calibri" w:hAnsi="Calibri" w:cs="Calibri"/>
              </w:rPr>
              <w:t>X</w:t>
            </w: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9999B34" w:rsidR="00092534" w:rsidRPr="00CF2E7C" w:rsidRDefault="00C975E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4E3DB74" w:rsidR="00092534" w:rsidRPr="00CF2E7C" w:rsidRDefault="00C975EC"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0DAB7765" w:rsidR="00092534" w:rsidRPr="00CF2E7C" w:rsidRDefault="00A1144E" w:rsidP="00CF2E7C">
            <w:pPr>
              <w:rPr>
                <w:rFonts w:ascii="Calibri" w:hAnsi="Calibri" w:cs="Calibri"/>
              </w:rPr>
            </w:pPr>
            <w:r>
              <w:rPr>
                <w:rFonts w:ascii="Calibri" w:hAnsi="Calibri" w:cs="Calibri"/>
              </w:rPr>
              <w:t>X</w:t>
            </w: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466C882" w:rsidR="00092534" w:rsidRPr="00CF2E7C" w:rsidRDefault="00C975EC"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626F520" w:rsidR="00092534" w:rsidRPr="00CF2E7C" w:rsidRDefault="00C975E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F96948E" w:rsidR="00092534" w:rsidRPr="00CF2E7C" w:rsidRDefault="00C975E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ECDF3CF" w:rsidR="00092534" w:rsidRPr="00CF2E7C" w:rsidRDefault="00C975E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3BCD53E2"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3E0F3F84" w:rsidR="00092534" w:rsidRPr="00CF2E7C" w:rsidRDefault="00C975EC"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A047368" w:rsidR="00092534" w:rsidRPr="00CF2E7C" w:rsidRDefault="00C975E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09689F14"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7CC4F6C" w:rsidR="00092534" w:rsidRPr="00CF2E7C" w:rsidRDefault="00C975E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048F37D3"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2946AB5A" w:rsidR="00092534" w:rsidRPr="00CF2E7C" w:rsidRDefault="0049390D" w:rsidP="0049390D">
            <w:pPr>
              <w:rPr>
                <w:rFonts w:ascii="Calibri" w:hAnsi="Calibri" w:cs="Calibri"/>
              </w:rPr>
            </w:pPr>
            <w:r w:rsidRPr="0049390D">
              <w:rPr>
                <w:rFonts w:ascii="Calibri" w:hAnsi="Calibri" w:cs="Calibri"/>
              </w:rPr>
              <w:t>POJK</w:t>
            </w:r>
            <w:r w:rsidR="005D2C76">
              <w:rPr>
                <w:rFonts w:ascii="Calibri" w:hAnsi="Calibri" w:cs="Calibri"/>
              </w:rPr>
              <w:t xml:space="preserve"> No.</w:t>
            </w:r>
            <w:r w:rsidRPr="0049390D">
              <w:rPr>
                <w:rFonts w:ascii="Calibri" w:hAnsi="Calibri" w:cs="Calibri"/>
              </w:rPr>
              <w:t xml:space="preserve"> 14/2023 targets the financial services sector, specifically the capital market segment that facilitates carbon trading through a carbon exchange.</w:t>
            </w:r>
            <w:r>
              <w:rPr>
                <w:rFonts w:ascii="Calibri" w:hAnsi="Calibri" w:cs="Calibri"/>
              </w:rPr>
              <w:t xml:space="preserve"> </w:t>
            </w:r>
            <w:r w:rsidRPr="0049390D">
              <w:rPr>
                <w:rFonts w:ascii="Calibri" w:hAnsi="Calibri" w:cs="Calibri"/>
              </w:rPr>
              <w:t>Within that sector, the regulation focuses on Carbon Exchange Operators</w:t>
            </w:r>
            <w:r>
              <w:rPr>
                <w:rFonts w:ascii="Calibri" w:hAnsi="Calibri" w:cs="Calibri"/>
              </w:rPr>
              <w:t>,</w:t>
            </w:r>
            <w:r w:rsidRPr="0049390D">
              <w:rPr>
                <w:rFonts w:ascii="Calibri" w:hAnsi="Calibri" w:cs="Calibri"/>
              </w:rPr>
              <w:t xml:space="preserve"> </w:t>
            </w:r>
            <w:r w:rsidR="00FF49DF">
              <w:rPr>
                <w:rFonts w:ascii="Calibri" w:hAnsi="Calibri" w:cs="Calibri"/>
              </w:rPr>
              <w:t xml:space="preserve">as the entity who organizes and manages </w:t>
            </w:r>
            <w:r w:rsidR="00FF49DF" w:rsidRPr="00FF49DF">
              <w:rPr>
                <w:rFonts w:ascii="Calibri" w:hAnsi="Calibri" w:cs="Calibri"/>
              </w:rPr>
              <w:t>the marketplace (exchange) where carbon units are traded.</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4BA311A7" w:rsidR="00092534" w:rsidRPr="00FF49DF" w:rsidRDefault="00FF49DF" w:rsidP="00FF49DF">
            <w:pPr>
              <w:rPr>
                <w:rFonts w:ascii="Calibri" w:hAnsi="Calibri" w:cs="Calibri"/>
                <w:lang w:val="en-ID"/>
              </w:rPr>
            </w:pPr>
            <w:r w:rsidRPr="00FF49DF">
              <w:rPr>
                <w:rFonts w:ascii="Calibri" w:hAnsi="Calibri" w:cs="Calibri"/>
                <w:lang w:val="en-ID"/>
              </w:rPr>
              <w:t>Any company that wants to operate as the marketplace infrastructure for carbon trading in Indonesia</w:t>
            </w:r>
            <w:r>
              <w:rPr>
                <w:rFonts w:ascii="Calibri" w:hAnsi="Calibri" w:cs="Calibri"/>
                <w:lang w:val="en-ID"/>
              </w:rPr>
              <w:t xml:space="preserve">, becoming a Carbon Exchange Operator, </w:t>
            </w:r>
            <w:r w:rsidRPr="00FF49DF">
              <w:rPr>
                <w:rFonts w:ascii="Calibri" w:hAnsi="Calibri" w:cs="Calibri"/>
                <w:lang w:val="en-ID"/>
              </w:rPr>
              <w:t>meeting the legal form, capital</w:t>
            </w:r>
            <w:r>
              <w:rPr>
                <w:rFonts w:ascii="Calibri" w:hAnsi="Calibri" w:cs="Calibri"/>
                <w:lang w:val="en-ID"/>
              </w:rPr>
              <w:t xml:space="preserve"> (</w:t>
            </w:r>
            <w:r w:rsidRPr="00FF49DF">
              <w:rPr>
                <w:rFonts w:ascii="Calibri" w:hAnsi="Calibri" w:cs="Calibri"/>
              </w:rPr>
              <w:t>The Carbon Exchange Organizer must have a paid-up capital of at least Rp100,000,000,000.00</w:t>
            </w:r>
            <w:r>
              <w:rPr>
                <w:rFonts w:ascii="Calibri" w:hAnsi="Calibri" w:cs="Calibri"/>
                <w:lang w:val="en-ID"/>
              </w:rPr>
              <w:t>)</w:t>
            </w:r>
            <w:r w:rsidRPr="00FF49DF">
              <w:rPr>
                <w:rFonts w:ascii="Calibri" w:hAnsi="Calibri" w:cs="Calibri"/>
                <w:lang w:val="en-ID"/>
              </w:rPr>
              <w:t xml:space="preserve">, and licensing requirements is automatically in the compliance scope of POJK </w:t>
            </w:r>
            <w:r w:rsidR="005D2C76">
              <w:rPr>
                <w:rFonts w:ascii="Calibri" w:hAnsi="Calibri" w:cs="Calibri"/>
                <w:lang w:val="en-ID"/>
              </w:rPr>
              <w:t xml:space="preserve">No. </w:t>
            </w:r>
            <w:r w:rsidRPr="00FF49DF">
              <w:rPr>
                <w:rFonts w:ascii="Calibri" w:hAnsi="Calibri" w:cs="Calibri"/>
                <w:lang w:val="en-ID"/>
              </w:rPr>
              <w:t>14/2023.</w:t>
            </w:r>
            <w:r>
              <w:rPr>
                <w:rFonts w:ascii="Calibri" w:hAnsi="Calibri" w:cs="Calibri"/>
                <w:lang w:val="en-ID"/>
              </w:rPr>
              <w:t xml:space="preserve">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0F82C1F2" w:rsidR="00092534" w:rsidRPr="00CF2E7C" w:rsidRDefault="00FF49D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539500E6"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AB54EA0" w:rsidR="00DB1E72" w:rsidRPr="00CF2E7C" w:rsidRDefault="00FF49DF"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68960EFD" w:rsidR="00DB1E72" w:rsidRPr="00CF2E7C" w:rsidRDefault="00FF49DF"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4B1D9923" w:rsidR="00DB1E72" w:rsidRPr="00CF2E7C" w:rsidRDefault="002A66BA" w:rsidP="00CF2E7C">
            <w:pPr>
              <w:rPr>
                <w:rFonts w:ascii="Calibri" w:hAnsi="Calibri" w:cs="Calibri"/>
              </w:rPr>
            </w:pPr>
            <w:r>
              <w:rPr>
                <w:rFonts w:ascii="Calibri" w:hAnsi="Calibri" w:cs="Calibri"/>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5C8455B7" w:rsidR="00DB1E72" w:rsidRPr="00CF2E7C" w:rsidRDefault="00FF49DF"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D4007B3"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9401CF1" w:rsidR="00DB1E72" w:rsidRPr="002A66BA" w:rsidRDefault="002A66BA" w:rsidP="00CF2E7C">
            <w:pPr>
              <w:rPr>
                <w:rFonts w:ascii="Calibri" w:hAnsi="Calibri" w:cs="Calibri"/>
                <w:lang w:val="en-ID"/>
              </w:rPr>
            </w:pPr>
            <w:r w:rsidRPr="002A66BA">
              <w:rPr>
                <w:rFonts w:ascii="Calibri" w:hAnsi="Calibri" w:cs="Calibri"/>
                <w:lang w:val="en-ID"/>
              </w:rPr>
              <w:t>Under</w:t>
            </w:r>
            <w:r>
              <w:rPr>
                <w:rFonts w:ascii="Calibri" w:hAnsi="Calibri" w:cs="Calibri"/>
                <w:lang w:val="en-ID"/>
              </w:rPr>
              <w:t xml:space="preserve"> Chapter 10 of</w:t>
            </w:r>
            <w:r w:rsidRPr="002A66BA">
              <w:rPr>
                <w:rFonts w:ascii="Calibri" w:hAnsi="Calibri" w:cs="Calibri"/>
                <w:lang w:val="en-ID"/>
              </w:rPr>
              <w:t xml:space="preserve"> POJK </w:t>
            </w:r>
            <w:r w:rsidR="005D2C76">
              <w:rPr>
                <w:rFonts w:ascii="Calibri" w:hAnsi="Calibri" w:cs="Calibri"/>
                <w:lang w:val="en-ID"/>
              </w:rPr>
              <w:t xml:space="preserve">No. </w:t>
            </w:r>
            <w:r w:rsidRPr="002A66BA">
              <w:rPr>
                <w:rFonts w:ascii="Calibri" w:hAnsi="Calibri" w:cs="Calibri"/>
                <w:lang w:val="en-ID"/>
              </w:rPr>
              <w:t xml:space="preserve">14/2023, entities that violate certain provisions relating to licensing, operations, governance, or reporting are subject to administrative sanctions imposed by the </w:t>
            </w:r>
            <w:r>
              <w:rPr>
                <w:rFonts w:ascii="Calibri" w:hAnsi="Calibri" w:cs="Calibri"/>
                <w:lang w:val="en-ID"/>
              </w:rPr>
              <w:t>OJK</w:t>
            </w:r>
            <w:r w:rsidRPr="002A66BA">
              <w:rPr>
                <w:rFonts w:ascii="Calibri" w:hAnsi="Calibri" w:cs="Calibri"/>
                <w:lang w:val="en-ID"/>
              </w:rPr>
              <w:t>. These sanctions may include a written warning, monetary fines, restriction or suspension of business activities, revocation of business licenses, cancellation of approvals, and/or cancellation of registration. OJK may impose these sanctions directly without first issuing a written warning, and fines can be applied either independently or in conjunction with other sanctions. Liability extends not only to the party committing the violation but also to any party that causes the violation. In addition to these measures, OJK retains the authority to take other lawful actions against violators, with all sanction procedures conducted in accordance with applicable laws and regulations.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FEDAC1A" w:rsidR="00092534" w:rsidRPr="00CF2E7C" w:rsidRDefault="002A66BA"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1189C9AD"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22C909AB" w:rsidR="00092534" w:rsidRPr="00CF2E7C" w:rsidRDefault="00E53CA7"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6C5B1E93"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4A0FDBF0" w:rsidR="00092534" w:rsidRPr="00CF2E7C" w:rsidRDefault="00E53CA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3A0D836F"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5E38B265" w:rsidR="00D46B07" w:rsidRPr="00CF2E7C" w:rsidRDefault="00091C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578419FE"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430C80A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91C32">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51AFBFC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91C32">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5E5D624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91C3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6A16F0C" w:rsidR="00D46B07" w:rsidRPr="00CF2E7C" w:rsidRDefault="00091C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00ED9CB5"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6798BC6" w14:textId="5EC6868C" w:rsidR="00091C32" w:rsidRDefault="00091C32" w:rsidP="00091C32">
            <w:pPr>
              <w:textAlignment w:val="baseline"/>
              <w:rPr>
                <w:rFonts w:ascii="Calibri" w:eastAsia="Times New Roman" w:hAnsi="Calibri" w:cs="Calibri"/>
                <w:kern w:val="0"/>
                <w:lang w:val="en-ID" w:eastAsia="en-GB"/>
                <w14:ligatures w14:val="none"/>
              </w:rPr>
            </w:pPr>
            <w:r w:rsidRPr="00091C32">
              <w:rPr>
                <w:rFonts w:ascii="Calibri" w:eastAsia="Times New Roman" w:hAnsi="Calibri" w:cs="Calibri"/>
                <w:kern w:val="0"/>
                <w:lang w:val="en-ID" w:eastAsia="en-GB"/>
                <w14:ligatures w14:val="none"/>
              </w:rPr>
              <w:t xml:space="preserve">Technical Approval of Emission Upper Limit for Business Actors </w:t>
            </w:r>
            <w:r>
              <w:rPr>
                <w:rFonts w:ascii="Calibri" w:eastAsia="Times New Roman" w:hAnsi="Calibri" w:cs="Calibri"/>
                <w:kern w:val="0"/>
                <w:lang w:val="en-ID" w:eastAsia="en-GB"/>
                <w14:ligatures w14:val="none"/>
              </w:rPr>
              <w:t>(“</w:t>
            </w:r>
            <w:r w:rsidRPr="00091C32">
              <w:rPr>
                <w:rFonts w:ascii="Calibri" w:eastAsia="Times New Roman" w:hAnsi="Calibri" w:cs="Calibri"/>
                <w:b/>
                <w:bCs/>
                <w:kern w:val="0"/>
                <w:lang w:val="en-ID" w:eastAsia="en-GB"/>
                <w14:ligatures w14:val="none"/>
              </w:rPr>
              <w:t>PTBAE-PU</w:t>
            </w:r>
            <w:r>
              <w:rPr>
                <w:rFonts w:ascii="Calibri" w:eastAsia="Times New Roman" w:hAnsi="Calibri" w:cs="Calibri"/>
                <w:kern w:val="0"/>
                <w:lang w:val="en-ID" w:eastAsia="en-GB"/>
                <w14:ligatures w14:val="none"/>
              </w:rPr>
              <w:t>”)</w:t>
            </w:r>
            <w:r w:rsidRPr="00091C32">
              <w:rPr>
                <w:rFonts w:ascii="Calibri" w:eastAsia="Times New Roman" w:hAnsi="Calibri" w:cs="Calibri"/>
                <w:kern w:val="0"/>
                <w:lang w:val="en-ID" w:eastAsia="en-GB"/>
                <w14:ligatures w14:val="none"/>
              </w:rPr>
              <w:t xml:space="preserve"> and Greenhouse Gas Emission Reduction Certificate</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b/>
                <w:bCs/>
                <w:kern w:val="0"/>
                <w:lang w:val="en-ID" w:eastAsia="en-GB"/>
                <w14:ligatures w14:val="none"/>
              </w:rPr>
              <w:t>SPE-GRK</w:t>
            </w:r>
            <w:r>
              <w:rPr>
                <w:rFonts w:ascii="Calibri" w:eastAsia="Times New Roman" w:hAnsi="Calibri" w:cs="Calibri"/>
                <w:kern w:val="0"/>
                <w:lang w:val="en-ID" w:eastAsia="en-GB"/>
                <w14:ligatures w14:val="none"/>
              </w:rPr>
              <w:t>”)</w:t>
            </w:r>
            <w:r w:rsidRPr="00091C32">
              <w:rPr>
                <w:rFonts w:ascii="Calibri" w:eastAsia="Times New Roman" w:hAnsi="Calibri" w:cs="Calibri"/>
                <w:kern w:val="0"/>
                <w:lang w:val="en-ID" w:eastAsia="en-GB"/>
                <w14:ligatures w14:val="none"/>
              </w:rPr>
              <w:t xml:space="preserve"> are the two official types of carbon units recognized for trading under POJK </w:t>
            </w:r>
            <w:r w:rsidR="005D2C76">
              <w:rPr>
                <w:rFonts w:ascii="Calibri" w:eastAsia="Times New Roman" w:hAnsi="Calibri" w:cs="Calibri"/>
                <w:kern w:val="0"/>
                <w:lang w:val="en-ID" w:eastAsia="en-GB"/>
                <w14:ligatures w14:val="none"/>
              </w:rPr>
              <w:t xml:space="preserve">No. </w:t>
            </w:r>
            <w:r w:rsidRPr="00091C32">
              <w:rPr>
                <w:rFonts w:ascii="Calibri" w:eastAsia="Times New Roman" w:hAnsi="Calibri" w:cs="Calibri"/>
                <w:kern w:val="0"/>
                <w:lang w:val="en-ID" w:eastAsia="en-GB"/>
                <w14:ligatures w14:val="none"/>
              </w:rPr>
              <w:t xml:space="preserve">14/2023 and Indonesia’s carbon exchange system. </w:t>
            </w:r>
          </w:p>
          <w:p w14:paraId="3FF4110F" w14:textId="77777777" w:rsidR="00091C32" w:rsidRDefault="00091C32" w:rsidP="00091C32">
            <w:pPr>
              <w:textAlignment w:val="baseline"/>
              <w:rPr>
                <w:rFonts w:ascii="Calibri" w:eastAsia="Times New Roman" w:hAnsi="Calibri" w:cs="Calibri"/>
                <w:kern w:val="0"/>
                <w:lang w:val="en-ID" w:eastAsia="en-GB"/>
                <w14:ligatures w14:val="none"/>
              </w:rPr>
            </w:pPr>
            <w:r w:rsidRPr="00091C32">
              <w:rPr>
                <w:rFonts w:ascii="Calibri" w:eastAsia="Times New Roman" w:hAnsi="Calibri" w:cs="Calibri"/>
                <w:kern w:val="0"/>
                <w:lang w:val="en-ID" w:eastAsia="en-GB"/>
                <w14:ligatures w14:val="none"/>
              </w:rPr>
              <w:t xml:space="preserve">PTBAE-PU is a government-issued emissions cap for regulated companies in Indonesia’s mandatory carbon market. Companies that emit less than their limit can trade the surplus with others. SPE-GRK represents verified emission reductions from projects like reforestation or renewable energy, recorded in the national registry, and traded mainly in the voluntary carbon market. </w:t>
            </w:r>
          </w:p>
          <w:p w14:paraId="3A6E7E46" w14:textId="4108929E" w:rsidR="000334B6" w:rsidRPr="00091C32" w:rsidRDefault="00091C32" w:rsidP="00CF2E7C">
            <w:pPr>
              <w:textAlignment w:val="baseline"/>
              <w:rPr>
                <w:rFonts w:ascii="Calibri" w:eastAsia="Times New Roman" w:hAnsi="Calibri" w:cs="Calibri"/>
                <w:kern w:val="0"/>
                <w:lang w:val="en-ID" w:eastAsia="en-GB"/>
                <w14:ligatures w14:val="none"/>
              </w:rPr>
            </w:pPr>
            <w:r w:rsidRPr="00091C32">
              <w:rPr>
                <w:rFonts w:ascii="Calibri" w:eastAsia="Times New Roman" w:hAnsi="Calibri" w:cs="Calibri"/>
                <w:kern w:val="0"/>
                <w:lang w:val="en-ID" w:eastAsia="en-GB"/>
                <w14:ligatures w14:val="none"/>
              </w:rPr>
              <w:t>In short, PTBAE-PU sets emission limits to be traded, while SPE-GRK certifies actual reductions that can be sold as carbon credits.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672209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1C3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7A392E" w14:textId="77777777" w:rsidR="00702413" w:rsidRDefault="00091C32" w:rsidP="00091C32">
            <w:pPr>
              <w:textAlignment w:val="baseline"/>
              <w:rPr>
                <w:rFonts w:ascii="Calibri" w:eastAsia="Times New Roman" w:hAnsi="Calibri" w:cs="Calibri"/>
                <w:kern w:val="0"/>
                <w:lang w:val="en-ID" w:eastAsia="en-GB"/>
                <w14:ligatures w14:val="none"/>
              </w:rPr>
            </w:pPr>
            <w:r>
              <w:rPr>
                <w:rFonts w:ascii="Calibri" w:eastAsia="Times New Roman" w:hAnsi="Calibri" w:cs="Calibri"/>
                <w:kern w:val="0"/>
                <w:lang w:val="en-ID" w:eastAsia="en-GB"/>
                <w14:ligatures w14:val="none"/>
              </w:rPr>
              <w:t xml:space="preserve">The </w:t>
            </w:r>
            <w:r w:rsidRPr="00091C32">
              <w:rPr>
                <w:rFonts w:ascii="Calibri" w:eastAsia="Times New Roman" w:hAnsi="Calibri" w:cs="Calibri"/>
                <w:kern w:val="0"/>
                <w:lang w:val="en-ID" w:eastAsia="en-GB"/>
                <w14:ligatures w14:val="none"/>
              </w:rPr>
              <w:t xml:space="preserve">National Registry System </w:t>
            </w:r>
            <w:r>
              <w:rPr>
                <w:rFonts w:ascii="Calibri" w:eastAsia="Times New Roman" w:hAnsi="Calibri" w:cs="Calibri"/>
                <w:kern w:val="0"/>
                <w:lang w:val="en-ID" w:eastAsia="en-GB"/>
                <w14:ligatures w14:val="none"/>
              </w:rPr>
              <w:t>(</w:t>
            </w:r>
            <w:proofErr w:type="spellStart"/>
            <w:r w:rsidRPr="00091C32">
              <w:rPr>
                <w:rFonts w:ascii="Calibri" w:eastAsia="Times New Roman" w:hAnsi="Calibri" w:cs="Calibri"/>
                <w:i/>
                <w:iCs/>
                <w:kern w:val="0"/>
                <w:lang w:val="en-ID" w:eastAsia="en-GB"/>
                <w14:ligatures w14:val="none"/>
              </w:rPr>
              <w:t>Sistem</w:t>
            </w:r>
            <w:proofErr w:type="spellEnd"/>
            <w:r w:rsidRPr="00091C32">
              <w:rPr>
                <w:rFonts w:ascii="Calibri" w:eastAsia="Times New Roman" w:hAnsi="Calibri" w:cs="Calibri"/>
                <w:i/>
                <w:iCs/>
                <w:kern w:val="0"/>
                <w:lang w:val="en-ID" w:eastAsia="en-GB"/>
                <w14:ligatures w14:val="none"/>
              </w:rPr>
              <w:t xml:space="preserve"> </w:t>
            </w:r>
            <w:proofErr w:type="spellStart"/>
            <w:r w:rsidRPr="00091C32">
              <w:rPr>
                <w:rFonts w:ascii="Calibri" w:eastAsia="Times New Roman" w:hAnsi="Calibri" w:cs="Calibri"/>
                <w:i/>
                <w:iCs/>
                <w:kern w:val="0"/>
                <w:lang w:val="en-ID" w:eastAsia="en-GB"/>
                <w14:ligatures w14:val="none"/>
              </w:rPr>
              <w:t>Registri</w:t>
            </w:r>
            <w:proofErr w:type="spellEnd"/>
            <w:r w:rsidRPr="00091C32">
              <w:rPr>
                <w:rFonts w:ascii="Calibri" w:eastAsia="Times New Roman" w:hAnsi="Calibri" w:cs="Calibri"/>
                <w:i/>
                <w:iCs/>
                <w:kern w:val="0"/>
                <w:lang w:val="en-ID" w:eastAsia="en-GB"/>
                <w14:ligatures w14:val="none"/>
              </w:rPr>
              <w:t xml:space="preserve"> Nasional</w:t>
            </w:r>
            <w:r w:rsidRPr="00091C32">
              <w:rPr>
                <w:rFonts w:ascii="Calibri" w:eastAsia="Times New Roman" w:hAnsi="Calibri" w:cs="Calibri"/>
                <w:kern w:val="0"/>
                <w:lang w:val="en-ID" w:eastAsia="en-GB"/>
                <w14:ligatures w14:val="none"/>
              </w:rPr>
              <w:t xml:space="preserve"> </w:t>
            </w:r>
            <w:r>
              <w:rPr>
                <w:rFonts w:ascii="Calibri" w:eastAsia="Times New Roman" w:hAnsi="Calibri" w:cs="Calibri"/>
                <w:kern w:val="0"/>
                <w:lang w:val="en-ID" w:eastAsia="en-GB"/>
                <w14:ligatures w14:val="none"/>
              </w:rPr>
              <w:t>or “</w:t>
            </w:r>
            <w:r w:rsidRPr="00091C32">
              <w:rPr>
                <w:rFonts w:ascii="Calibri" w:eastAsia="Times New Roman" w:hAnsi="Calibri" w:cs="Calibri"/>
                <w:b/>
                <w:bCs/>
                <w:kern w:val="0"/>
                <w:lang w:val="en-ID" w:eastAsia="en-GB"/>
                <w14:ligatures w14:val="none"/>
              </w:rPr>
              <w:t>SRN</w:t>
            </w:r>
            <w:r>
              <w:rPr>
                <w:rFonts w:ascii="Calibri" w:eastAsia="Times New Roman" w:hAnsi="Calibri" w:cs="Calibri"/>
                <w:kern w:val="0"/>
                <w:lang w:val="en-ID" w:eastAsia="en-GB"/>
                <w14:ligatures w14:val="none"/>
              </w:rPr>
              <w:t>”</w:t>
            </w:r>
            <w:r w:rsidRPr="00091C32">
              <w:rPr>
                <w:rFonts w:ascii="Calibri" w:eastAsia="Times New Roman" w:hAnsi="Calibri" w:cs="Calibri"/>
                <w:kern w:val="0"/>
                <w:lang w:val="en-ID" w:eastAsia="en-GB"/>
                <w14:ligatures w14:val="none"/>
              </w:rPr>
              <w:t>) for climate change control in Indonesia</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is an official digital platform that records, tracks, and manages all carbon units</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such as PTBAE-PU and SPE-GRK</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 xml:space="preserve">to ensure transparency, accuracy, and accountability in the country’s carbon trading system. The SRN serves as the centralized database where carbon credits are registered, verified, and monitored to prevent double counting or fraud. </w:t>
            </w:r>
          </w:p>
          <w:p w14:paraId="7720534C" w14:textId="77777777" w:rsidR="00091C32" w:rsidRDefault="00091C32" w:rsidP="00091C32">
            <w:pPr>
              <w:textAlignment w:val="baseline"/>
              <w:rPr>
                <w:rFonts w:ascii="Calibri" w:eastAsia="Times New Roman" w:hAnsi="Calibri" w:cs="Calibri"/>
                <w:kern w:val="0"/>
                <w:lang w:val="en-ID" w:eastAsia="en-GB"/>
                <w14:ligatures w14:val="none"/>
              </w:rPr>
            </w:pPr>
          </w:p>
          <w:p w14:paraId="38C2165D" w14:textId="592E2E02" w:rsidR="00091C32" w:rsidRPr="00091C32" w:rsidRDefault="00091C32" w:rsidP="00091C32">
            <w:pPr>
              <w:textAlignment w:val="baseline"/>
              <w:rPr>
                <w:rFonts w:ascii="Calibri" w:eastAsia="Times New Roman" w:hAnsi="Calibri" w:cs="Calibri"/>
                <w:kern w:val="0"/>
                <w:lang w:val="en-ID"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5AFB9832" w:rsidR="00343937" w:rsidRPr="00CF2E7C" w:rsidRDefault="00091C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7294916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010A9CE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1C3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19E64A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9F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w:t>
            </w:r>
            <w:r w:rsidRPr="00CF2E7C">
              <w:rPr>
                <w:rFonts w:ascii="Calibri" w:eastAsia="Times New Roman" w:hAnsi="Calibri" w:cs="Calibri"/>
                <w:kern w:val="0"/>
                <w:lang w:eastAsia="en-GB"/>
                <w14:ligatures w14:val="none"/>
              </w:rPr>
              <w:lastRenderedPageBreak/>
              <w:t xml:space="preserve">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631A4AA0" w:rsidR="00343937" w:rsidRPr="00A109F8" w:rsidRDefault="00A109F8" w:rsidP="00CF2E7C">
            <w:pPr>
              <w:textAlignment w:val="baseline"/>
              <w:rPr>
                <w:rFonts w:ascii="Calibri" w:eastAsia="Times New Roman" w:hAnsi="Calibri" w:cs="Calibri"/>
                <w:kern w:val="0"/>
                <w:lang w:val="en-ID" w:eastAsia="en-GB"/>
                <w14:ligatures w14:val="none"/>
              </w:rPr>
            </w:pPr>
            <w:r w:rsidRPr="00A109F8">
              <w:rPr>
                <w:rFonts w:ascii="Calibri" w:eastAsia="Times New Roman" w:hAnsi="Calibri" w:cs="Calibri"/>
                <w:kern w:val="0"/>
                <w:lang w:val="en-ID" w:eastAsia="en-GB"/>
                <w14:ligatures w14:val="none"/>
              </w:rPr>
              <w:t xml:space="preserve">POJK </w:t>
            </w:r>
            <w:r w:rsidR="005D2C76">
              <w:rPr>
                <w:rFonts w:ascii="Calibri" w:eastAsia="Times New Roman" w:hAnsi="Calibri" w:cs="Calibri"/>
                <w:kern w:val="0"/>
                <w:lang w:val="en-ID" w:eastAsia="en-GB"/>
                <w14:ligatures w14:val="none"/>
              </w:rPr>
              <w:t xml:space="preserve">No. </w:t>
            </w:r>
            <w:r w:rsidRPr="00A109F8">
              <w:rPr>
                <w:rFonts w:ascii="Calibri" w:eastAsia="Times New Roman" w:hAnsi="Calibri" w:cs="Calibri"/>
                <w:kern w:val="0"/>
                <w:lang w:val="en-ID" w:eastAsia="en-GB"/>
                <w14:ligatures w14:val="none"/>
              </w:rPr>
              <w:t>14/2023 prevents double counting by requiring that all carbon units traded in Indonesia must be listed on the national registry system</w:t>
            </w:r>
            <w:r>
              <w:rPr>
                <w:rFonts w:ascii="Calibri" w:eastAsia="Times New Roman" w:hAnsi="Calibri" w:cs="Calibri"/>
                <w:kern w:val="0"/>
                <w:lang w:val="en-ID" w:eastAsia="en-GB"/>
                <w14:ligatures w14:val="none"/>
              </w:rPr>
              <w:t>/</w:t>
            </w:r>
            <w:r w:rsidRPr="00A109F8">
              <w:rPr>
                <w:rFonts w:ascii="Calibri" w:eastAsia="Times New Roman" w:hAnsi="Calibri" w:cs="Calibri"/>
                <w:kern w:val="0"/>
                <w:lang w:val="en-ID" w:eastAsia="en-GB"/>
                <w14:ligatures w14:val="none"/>
              </w:rPr>
              <w:t xml:space="preserve">SRN. For foreign carbon units not listed on SRN, they must be registered, validated, and verified by an internationally accredited institution, approved for trading on a foreign carbon exchange, and meet additional requirements set by the </w:t>
            </w:r>
            <w:r>
              <w:rPr>
                <w:rFonts w:ascii="Calibri" w:eastAsia="Times New Roman" w:hAnsi="Calibri" w:cs="Calibri"/>
                <w:kern w:val="0"/>
                <w:lang w:val="en-ID" w:eastAsia="en-GB"/>
                <w14:ligatures w14:val="none"/>
              </w:rPr>
              <w:t>OJK</w:t>
            </w:r>
            <w:r w:rsidRPr="00A109F8">
              <w:rPr>
                <w:rFonts w:ascii="Calibri" w:eastAsia="Times New Roman" w:hAnsi="Calibri" w:cs="Calibri"/>
                <w:kern w:val="0"/>
                <w:lang w:val="en-ID" w:eastAsia="en-GB"/>
                <w14:ligatures w14:val="none"/>
              </w:rPr>
              <w:t>. This ensures that every carbon unit is uniquely tracked and verified, minimizing the risk of double counting across domestic and international markets</w:t>
            </w:r>
            <w:r>
              <w:rPr>
                <w:rFonts w:ascii="Calibri" w:eastAsia="Times New Roman" w:hAnsi="Calibri" w:cs="Calibri"/>
                <w:kern w:val="0"/>
                <w:lang w:val="en-ID"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03A8CE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9F8">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DFCCB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9F8">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6607C5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9F8">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531FC7F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09F8">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70355AE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9BF413C" w:rsidR="000A6F11" w:rsidRPr="00CF2E7C" w:rsidRDefault="00A109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383E4B32"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4610C4E7" w:rsidR="00392F82" w:rsidRPr="009C4D10" w:rsidRDefault="00A109F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0C5EB713" w:rsidR="00392F82" w:rsidRPr="009C4D10" w:rsidRDefault="00A109F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28A20F9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A109F8">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58E4296" w14:textId="226485CA" w:rsidR="00B24AAF" w:rsidRPr="00B24AAF" w:rsidRDefault="00B24AAF" w:rsidP="00B24AAF">
            <w:pPr>
              <w:rPr>
                <w:rFonts w:eastAsia="Times New Roman" w:cstheme="minorHAnsi"/>
                <w:kern w:val="0"/>
                <w:lang w:val="en-ID" w:eastAsia="en-GB"/>
                <w14:ligatures w14:val="none"/>
              </w:rPr>
            </w:pPr>
            <w:r w:rsidRPr="00B24AAF">
              <w:rPr>
                <w:rFonts w:eastAsia="Times New Roman" w:cstheme="minorHAnsi"/>
                <w:kern w:val="0"/>
                <w:lang w:val="en-ID" w:eastAsia="en-GB"/>
                <w14:ligatures w14:val="none"/>
              </w:rPr>
              <w:t>The policy mandates that all carbon credit trading, including PTBAE-PU and SPE-GRK, must be conducted through an officially licensed Carbon Exchange Operator (Articles 2, 3, and 7). It further requires that each trade be recorded in both the SRN and the Carbon Exchange Operator’s platform (Article 3 paragraph (1)), ensuring accurate tracking and preventing double counting.</w:t>
            </w:r>
          </w:p>
          <w:p w14:paraId="2817B5F0" w14:textId="4030922C" w:rsidR="00B24AAF" w:rsidRPr="00B24AAF" w:rsidRDefault="00B24AAF" w:rsidP="00B24AAF">
            <w:pPr>
              <w:rPr>
                <w:rFonts w:eastAsia="Times New Roman" w:cstheme="minorHAnsi"/>
                <w:kern w:val="0"/>
                <w:lang w:val="en-ID" w:eastAsia="en-GB"/>
                <w14:ligatures w14:val="none"/>
              </w:rPr>
            </w:pPr>
            <w:r w:rsidRPr="00B24AAF">
              <w:rPr>
                <w:rFonts w:eastAsia="Times New Roman" w:cstheme="minorHAnsi"/>
                <w:kern w:val="0"/>
                <w:lang w:val="en-ID" w:eastAsia="en-GB"/>
                <w14:ligatures w14:val="none"/>
              </w:rPr>
              <w:t>Carbon Exchange Operators are also responsible for facilitating trades between buyers and sellers in a transparent, fair, and orderly manner (Article 7 paragraphs (1) and (2)). The regulation also stipulates that carbon trading may be carried out directly between the parties and/or through an intermediary acting on behalf of a service user (Article 7 paragraph (3)). However, there are no further provisions governing intermediaries.</w:t>
            </w:r>
          </w:p>
          <w:p w14:paraId="6108FF67" w14:textId="30AB8C42" w:rsidR="00DD6C7D" w:rsidRPr="00B24AAF" w:rsidRDefault="00B24AAF" w:rsidP="00B24AAF">
            <w:r w:rsidRPr="00B24AAF">
              <w:rPr>
                <w:rFonts w:eastAsia="Times New Roman" w:cstheme="minorHAnsi"/>
                <w:kern w:val="0"/>
                <w:lang w:val="en-ID" w:eastAsia="en-GB"/>
                <w14:ligatures w14:val="none"/>
              </w:rPr>
              <w:t>Additionally, Article 31 requires operators to submit regular reports on trading activities to the Financial Services Authority for supervision and monitoring.</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9E571E3" w14:textId="77777777" w:rsidR="005D2C76" w:rsidRPr="005D2C76" w:rsidRDefault="005D2C76" w:rsidP="005D2C76">
            <w:pPr>
              <w:rPr>
                <w:rFonts w:eastAsia="Times New Roman" w:cstheme="minorHAnsi"/>
                <w:lang w:val="en-ID" w:eastAsia="en-GB"/>
              </w:rPr>
            </w:pPr>
            <w:r w:rsidRPr="005D2C76">
              <w:rPr>
                <w:rFonts w:eastAsia="Times New Roman" w:cstheme="minorHAnsi"/>
                <w:lang w:val="en-ID" w:eastAsia="en-GB"/>
              </w:rPr>
              <w:t>POJK No. 14/2023 safeguards market integrity in the exchange of carbon credits through several key measures. It prohibits Carbon Exchange Operators from conducting transactions for their own benefit (Article 9) to prevent conflicts of interest and market manipulation. The regulation also requires operators and intermediaries to establish robust governance structures and internal controls, including risk management systems, to maintain market order (Articles 8 and 24).</w:t>
            </w:r>
          </w:p>
          <w:p w14:paraId="624ECD68" w14:textId="4853058B" w:rsidR="005D2C76" w:rsidRPr="005D2C76" w:rsidRDefault="005D2C76" w:rsidP="005D2C76">
            <w:pPr>
              <w:rPr>
                <w:rFonts w:eastAsia="Times New Roman" w:cstheme="minorHAnsi"/>
                <w:lang w:val="en-ID" w:eastAsia="en-GB"/>
              </w:rPr>
            </w:pPr>
            <w:r w:rsidRPr="005D2C76">
              <w:rPr>
                <w:rFonts w:eastAsia="Times New Roman" w:cstheme="minorHAnsi"/>
                <w:lang w:val="en-ID" w:eastAsia="en-GB"/>
              </w:rPr>
              <w:lastRenderedPageBreak/>
              <w:t>All transactions must be accurately recorded in both the SRN and the Carbon Exchange Operator’s platform to ensure traceability and prevent double counting (Article 3 paragraph (2)). Operators are also required to report transaction data regularly to the OJK for oversight (Article 31). To enforce compliance, administrative sanctions</w:t>
            </w:r>
            <w:r>
              <w:rPr>
                <w:rFonts w:eastAsia="Times New Roman" w:cstheme="minorHAnsi"/>
                <w:lang w:val="en-ID" w:eastAsia="en-GB"/>
              </w:rPr>
              <w:t xml:space="preserve">, </w:t>
            </w:r>
            <w:r w:rsidRPr="005D2C76">
              <w:rPr>
                <w:rFonts w:eastAsia="Times New Roman" w:cstheme="minorHAnsi"/>
                <w:lang w:val="en-ID" w:eastAsia="en-GB"/>
              </w:rPr>
              <w:t>ranging from warnings to fines and license revocations</w:t>
            </w:r>
            <w:r>
              <w:rPr>
                <w:rFonts w:eastAsia="Times New Roman" w:cstheme="minorHAnsi"/>
                <w:lang w:val="en-ID" w:eastAsia="en-GB"/>
              </w:rPr>
              <w:t xml:space="preserve">, </w:t>
            </w:r>
            <w:r w:rsidRPr="005D2C76">
              <w:rPr>
                <w:rFonts w:eastAsia="Times New Roman" w:cstheme="minorHAnsi"/>
                <w:lang w:val="en-ID" w:eastAsia="en-GB"/>
              </w:rPr>
              <w:t>are prescribed for violations that threaten market integrity (Article 33).</w:t>
            </w:r>
          </w:p>
          <w:p w14:paraId="4656A85F" w14:textId="53B0458D" w:rsidR="00D00BFF" w:rsidRPr="00D00BFF" w:rsidRDefault="005D2C76" w:rsidP="00D00BFF">
            <w:pPr>
              <w:rPr>
                <w:rFonts w:eastAsia="Times New Roman" w:cstheme="minorHAnsi"/>
                <w:lang w:val="en-ID" w:eastAsia="en-GB"/>
              </w:rPr>
            </w:pPr>
            <w:r w:rsidRPr="005D2C76">
              <w:rPr>
                <w:rFonts w:eastAsia="Times New Roman" w:cstheme="minorHAnsi"/>
                <w:lang w:val="en-ID" w:eastAsia="en-GB"/>
              </w:rPr>
              <w:t>Together, these provisions form a comprehensive framework that promotes transparency, fairness, and accountability in Indonesia’s carbon credit exchange.</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F14FC91"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68265F" w14:textId="77777777" w:rsidR="002C2A7D" w:rsidRDefault="002C2A7D" w:rsidP="00874E39">
      <w:r>
        <w:separator/>
      </w:r>
    </w:p>
  </w:endnote>
  <w:endnote w:type="continuationSeparator" w:id="0">
    <w:p w14:paraId="33FA407C" w14:textId="77777777" w:rsidR="002C2A7D" w:rsidRDefault="002C2A7D" w:rsidP="00874E39">
      <w:r>
        <w:continuationSeparator/>
      </w:r>
    </w:p>
  </w:endnote>
  <w:endnote w:type="continuationNotice" w:id="1">
    <w:p w14:paraId="6FC4167B" w14:textId="77777777" w:rsidR="002C2A7D" w:rsidRDefault="002C2A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A63849" w14:textId="77777777" w:rsidR="002C2A7D" w:rsidRDefault="002C2A7D" w:rsidP="00874E39">
      <w:r>
        <w:separator/>
      </w:r>
    </w:p>
  </w:footnote>
  <w:footnote w:type="continuationSeparator" w:id="0">
    <w:p w14:paraId="3A70194E" w14:textId="77777777" w:rsidR="002C2A7D" w:rsidRDefault="002C2A7D" w:rsidP="00874E39">
      <w:r>
        <w:continuationSeparator/>
      </w:r>
    </w:p>
  </w:footnote>
  <w:footnote w:type="continuationNotice" w:id="1">
    <w:p w14:paraId="63540E9F" w14:textId="77777777" w:rsidR="002C2A7D" w:rsidRDefault="002C2A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32E314B"/>
    <w:multiLevelType w:val="multilevel"/>
    <w:tmpl w:val="724A1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ECB2DB7"/>
    <w:multiLevelType w:val="multilevel"/>
    <w:tmpl w:val="06CC320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845508793">
    <w:abstractNumId w:val="17"/>
  </w:num>
  <w:num w:numId="50" w16cid:durableId="1576159593">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1AE"/>
    <w:rsid w:val="000147A5"/>
    <w:rsid w:val="00016AF3"/>
    <w:rsid w:val="00021C84"/>
    <w:rsid w:val="000235A5"/>
    <w:rsid w:val="000237AB"/>
    <w:rsid w:val="00024B36"/>
    <w:rsid w:val="00024B46"/>
    <w:rsid w:val="00025699"/>
    <w:rsid w:val="00027241"/>
    <w:rsid w:val="00027314"/>
    <w:rsid w:val="000278E2"/>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C32"/>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E73"/>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6BA"/>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A7D"/>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EEB"/>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0D"/>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29A"/>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C76"/>
    <w:rsid w:val="005D522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53E"/>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058"/>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563"/>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BC9"/>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25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23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033"/>
    <w:rsid w:val="00854B57"/>
    <w:rsid w:val="00854CE2"/>
    <w:rsid w:val="0085591B"/>
    <w:rsid w:val="008569FA"/>
    <w:rsid w:val="008577E3"/>
    <w:rsid w:val="00860CA9"/>
    <w:rsid w:val="00861D43"/>
    <w:rsid w:val="00862AB1"/>
    <w:rsid w:val="00862EB9"/>
    <w:rsid w:val="008642FE"/>
    <w:rsid w:val="008650EB"/>
    <w:rsid w:val="00866032"/>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9F8"/>
    <w:rsid w:val="00A1144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AAF"/>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E7F"/>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57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F88"/>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9D0"/>
    <w:rsid w:val="00C93AD3"/>
    <w:rsid w:val="00C93F42"/>
    <w:rsid w:val="00C9418B"/>
    <w:rsid w:val="00C95D67"/>
    <w:rsid w:val="00C97222"/>
    <w:rsid w:val="00C975EC"/>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BFF"/>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FC2"/>
    <w:rsid w:val="00DC4911"/>
    <w:rsid w:val="00DC7CFF"/>
    <w:rsid w:val="00DC7EFD"/>
    <w:rsid w:val="00DD090B"/>
    <w:rsid w:val="00DD15AE"/>
    <w:rsid w:val="00DD292A"/>
    <w:rsid w:val="00DD3144"/>
    <w:rsid w:val="00DD35ED"/>
    <w:rsid w:val="00DD3B33"/>
    <w:rsid w:val="00DD4AEB"/>
    <w:rsid w:val="00DD694D"/>
    <w:rsid w:val="00DD6C7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CA7"/>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07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9D5"/>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9DF"/>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D522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374366">
      <w:bodyDiv w:val="1"/>
      <w:marLeft w:val="0"/>
      <w:marRight w:val="0"/>
      <w:marTop w:val="0"/>
      <w:marBottom w:val="0"/>
      <w:divBdr>
        <w:top w:val="none" w:sz="0" w:space="0" w:color="auto"/>
        <w:left w:val="none" w:sz="0" w:space="0" w:color="auto"/>
        <w:bottom w:val="none" w:sz="0" w:space="0" w:color="auto"/>
        <w:right w:val="none" w:sz="0" w:space="0" w:color="auto"/>
      </w:divBdr>
    </w:div>
    <w:div w:id="324669112">
      <w:bodyDiv w:val="1"/>
      <w:marLeft w:val="0"/>
      <w:marRight w:val="0"/>
      <w:marTop w:val="0"/>
      <w:marBottom w:val="0"/>
      <w:divBdr>
        <w:top w:val="none" w:sz="0" w:space="0" w:color="auto"/>
        <w:left w:val="none" w:sz="0" w:space="0" w:color="auto"/>
        <w:bottom w:val="none" w:sz="0" w:space="0" w:color="auto"/>
        <w:right w:val="none" w:sz="0" w:space="0" w:color="auto"/>
      </w:divBdr>
    </w:div>
    <w:div w:id="5551664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559629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579986">
      <w:bodyDiv w:val="1"/>
      <w:marLeft w:val="0"/>
      <w:marRight w:val="0"/>
      <w:marTop w:val="0"/>
      <w:marBottom w:val="0"/>
      <w:divBdr>
        <w:top w:val="none" w:sz="0" w:space="0" w:color="auto"/>
        <w:left w:val="none" w:sz="0" w:space="0" w:color="auto"/>
        <w:bottom w:val="none" w:sz="0" w:space="0" w:color="auto"/>
        <w:right w:val="none" w:sz="0" w:space="0" w:color="auto"/>
      </w:divBdr>
    </w:div>
    <w:div w:id="844513294">
      <w:bodyDiv w:val="1"/>
      <w:marLeft w:val="0"/>
      <w:marRight w:val="0"/>
      <w:marTop w:val="0"/>
      <w:marBottom w:val="0"/>
      <w:divBdr>
        <w:top w:val="none" w:sz="0" w:space="0" w:color="auto"/>
        <w:left w:val="none" w:sz="0" w:space="0" w:color="auto"/>
        <w:bottom w:val="none" w:sz="0" w:space="0" w:color="auto"/>
        <w:right w:val="none" w:sz="0" w:space="0" w:color="auto"/>
      </w:divBdr>
    </w:div>
    <w:div w:id="96438466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22417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8245337">
      <w:bodyDiv w:val="1"/>
      <w:marLeft w:val="0"/>
      <w:marRight w:val="0"/>
      <w:marTop w:val="0"/>
      <w:marBottom w:val="0"/>
      <w:divBdr>
        <w:top w:val="none" w:sz="0" w:space="0" w:color="auto"/>
        <w:left w:val="none" w:sz="0" w:space="0" w:color="auto"/>
        <w:bottom w:val="none" w:sz="0" w:space="0" w:color="auto"/>
        <w:right w:val="none" w:sz="0" w:space="0" w:color="auto"/>
      </w:divBdr>
    </w:div>
    <w:div w:id="203437772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806095808/https://peraturan.bpk.go.id/Details/272022/peraturan-ojk-no-8-tahun-2023%2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1418</TotalTime>
  <Pages>113</Pages>
  <Words>23037</Words>
  <Characters>131312</Characters>
  <Application>Microsoft Office Word</Application>
  <DocSecurity>0</DocSecurity>
  <Lines>1094</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9</cp:revision>
  <cp:lastPrinted>2025-03-21T00:14:00Z</cp:lastPrinted>
  <dcterms:created xsi:type="dcterms:W3CDTF">2025-06-25T11:58:00Z</dcterms:created>
  <dcterms:modified xsi:type="dcterms:W3CDTF">2025-08-12T09:36:00Z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